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645" w:rsidRPr="00013645" w:rsidRDefault="00013645" w:rsidP="00013645">
      <w:pPr>
        <w:autoSpaceDE w:val="0"/>
        <w:autoSpaceDN w:val="0"/>
        <w:adjustRightInd w:val="0"/>
        <w:rPr>
          <w:rFonts w:ascii="Calibri" w:hAnsi="Calibri" w:cs="Agenda-Medium"/>
          <w:sz w:val="28"/>
          <w:szCs w:val="28"/>
        </w:rPr>
      </w:pPr>
      <w:bookmarkStart w:id="0" w:name="_GoBack"/>
      <w:bookmarkEnd w:id="0"/>
      <w:r w:rsidRPr="00013645">
        <w:rPr>
          <w:rFonts w:ascii="Calibri" w:hAnsi="Calibri" w:cs="Agenda-Medium"/>
          <w:sz w:val="28"/>
          <w:szCs w:val="28"/>
        </w:rPr>
        <w:t>Information til forældre</w:t>
      </w:r>
    </w:p>
    <w:p w:rsidR="00013645" w:rsidRPr="00013645" w:rsidRDefault="00013645" w:rsidP="00013645">
      <w:pPr>
        <w:autoSpaceDE w:val="0"/>
        <w:autoSpaceDN w:val="0"/>
        <w:adjustRightInd w:val="0"/>
        <w:rPr>
          <w:rFonts w:ascii="Calibri" w:hAnsi="Calibri" w:cs="Agenda-Medium"/>
          <w:sz w:val="48"/>
          <w:szCs w:val="48"/>
        </w:rPr>
      </w:pPr>
      <w:r w:rsidRPr="00013645">
        <w:rPr>
          <w:rFonts w:ascii="Calibri" w:hAnsi="Calibri" w:cs="Agenda-Medium"/>
          <w:color w:val="0F243E" w:themeColor="text2" w:themeShade="80"/>
          <w:sz w:val="48"/>
          <w:szCs w:val="48"/>
        </w:rPr>
        <w:t>Forkølelsessår</w:t>
      </w:r>
    </w:p>
    <w:p w:rsidR="00013645" w:rsidRPr="00013645" w:rsidRDefault="00013645" w:rsidP="00013645">
      <w:pPr>
        <w:autoSpaceDE w:val="0"/>
        <w:autoSpaceDN w:val="0"/>
        <w:adjustRightInd w:val="0"/>
        <w:rPr>
          <w:rFonts w:ascii="Calibri" w:hAnsi="Calibri" w:cs="AGaramond-Regular"/>
          <w:sz w:val="25"/>
          <w:szCs w:val="25"/>
        </w:rPr>
      </w:pPr>
    </w:p>
    <w:p w:rsidR="00013645" w:rsidRPr="00013645" w:rsidRDefault="00013645" w:rsidP="00013645">
      <w:pPr>
        <w:autoSpaceDE w:val="0"/>
        <w:autoSpaceDN w:val="0"/>
        <w:adjustRightInd w:val="0"/>
        <w:rPr>
          <w:rFonts w:ascii="Calibri" w:hAnsi="Calibri" w:cs="AGaramond-Regular"/>
          <w:sz w:val="25"/>
          <w:szCs w:val="25"/>
        </w:rPr>
      </w:pPr>
      <w:r w:rsidRPr="00013645">
        <w:rPr>
          <w:rFonts w:ascii="Calibri" w:hAnsi="Calibri" w:cs="AGaramond-Regular"/>
          <w:sz w:val="25"/>
          <w:szCs w:val="25"/>
        </w:rPr>
        <w:t>Der har været tilfælde af forkølelsessår. Læs denne vejledning, og informer personalet, hvis dit barn viser tegn på forkølelsessår.</w:t>
      </w:r>
    </w:p>
    <w:p w:rsidR="00013645" w:rsidRPr="00013645" w:rsidRDefault="00013645" w:rsidP="00013645">
      <w:pPr>
        <w:autoSpaceDE w:val="0"/>
        <w:autoSpaceDN w:val="0"/>
        <w:adjustRightInd w:val="0"/>
        <w:rPr>
          <w:rFonts w:ascii="Calibri" w:hAnsi="Calibri" w:cs="AGaramond-Regular"/>
          <w:sz w:val="25"/>
          <w:szCs w:val="25"/>
        </w:rPr>
      </w:pPr>
      <w:r w:rsidRPr="00013645">
        <w:rPr>
          <w:rFonts w:ascii="Calibri" w:hAnsi="Calibri" w:cs="AGaramond-Regular"/>
          <w:sz w:val="25"/>
          <w:szCs w:val="25"/>
        </w:rPr>
        <w:t>Forkølelsessår (herpes) er en virussygdom, der viser sig som grupper af småblærer på huden.</w:t>
      </w:r>
    </w:p>
    <w:p w:rsidR="00013645" w:rsidRPr="00013645" w:rsidRDefault="00013645" w:rsidP="00013645">
      <w:pPr>
        <w:autoSpaceDE w:val="0"/>
        <w:autoSpaceDN w:val="0"/>
        <w:adjustRightInd w:val="0"/>
        <w:rPr>
          <w:rFonts w:ascii="Calibri" w:hAnsi="Calibri" w:cs="AGaramond-Regular"/>
          <w:sz w:val="25"/>
          <w:szCs w:val="25"/>
        </w:rPr>
      </w:pPr>
      <w:r w:rsidRPr="00013645">
        <w:rPr>
          <w:rFonts w:ascii="Calibri" w:hAnsi="Calibri" w:cs="AGaramond-Regular"/>
          <w:sz w:val="25"/>
          <w:szCs w:val="25"/>
        </w:rPr>
        <w:t>De fleste mennesker smittes med sygdommen allerede i barnealderen, men kun en mindre del får symptomer.</w:t>
      </w:r>
    </w:p>
    <w:p w:rsidR="00013645" w:rsidRPr="00013645" w:rsidRDefault="00013645" w:rsidP="00013645">
      <w:pPr>
        <w:autoSpaceDE w:val="0"/>
        <w:autoSpaceDN w:val="0"/>
        <w:adjustRightInd w:val="0"/>
        <w:rPr>
          <w:rFonts w:ascii="Calibri" w:hAnsi="Calibri" w:cs="Ding2"/>
          <w:sz w:val="28"/>
          <w:szCs w:val="28"/>
        </w:rPr>
      </w:pPr>
    </w:p>
    <w:p w:rsidR="00013645" w:rsidRPr="00013645" w:rsidRDefault="00013645" w:rsidP="00013645">
      <w:pPr>
        <w:autoSpaceDE w:val="0"/>
        <w:autoSpaceDN w:val="0"/>
        <w:adjustRightInd w:val="0"/>
        <w:rPr>
          <w:rFonts w:ascii="Calibri" w:hAnsi="Calibri" w:cs="Agenda-Medium"/>
          <w:sz w:val="28"/>
          <w:szCs w:val="28"/>
        </w:rPr>
      </w:pPr>
      <w:r w:rsidRPr="00013645">
        <w:rPr>
          <w:rFonts w:ascii="Calibri" w:hAnsi="Calibri" w:cs="Agenda-Medium"/>
          <w:sz w:val="28"/>
          <w:szCs w:val="28"/>
        </w:rPr>
        <w:t>Om smitte</w:t>
      </w:r>
    </w:p>
    <w:p w:rsidR="00013645" w:rsidRPr="00013645" w:rsidRDefault="00013645" w:rsidP="00013645">
      <w:pPr>
        <w:autoSpaceDE w:val="0"/>
        <w:autoSpaceDN w:val="0"/>
        <w:adjustRightInd w:val="0"/>
        <w:rPr>
          <w:rFonts w:ascii="Calibri" w:hAnsi="Calibri" w:cs="AGaramond-Regular"/>
          <w:sz w:val="25"/>
          <w:szCs w:val="25"/>
        </w:rPr>
      </w:pPr>
      <w:r w:rsidRPr="00013645">
        <w:rPr>
          <w:rFonts w:ascii="Calibri" w:hAnsi="Calibri" w:cs="AGaramond-Regular"/>
          <w:sz w:val="25"/>
          <w:szCs w:val="25"/>
        </w:rPr>
        <w:t>Smitte overføres med væske fra blærerne, typisk via hænderne. Den hyppigste smitteoverførsel sker fra raske smittebærere, der udskiller virus i spyttet.</w:t>
      </w:r>
    </w:p>
    <w:p w:rsidR="00013645" w:rsidRPr="00013645" w:rsidRDefault="00013645" w:rsidP="00013645">
      <w:pPr>
        <w:autoSpaceDE w:val="0"/>
        <w:autoSpaceDN w:val="0"/>
        <w:adjustRightInd w:val="0"/>
        <w:rPr>
          <w:rFonts w:ascii="Calibri" w:hAnsi="Calibri" w:cs="AGaramond-Regular"/>
          <w:sz w:val="25"/>
          <w:szCs w:val="25"/>
        </w:rPr>
      </w:pPr>
      <w:r w:rsidRPr="00013645">
        <w:rPr>
          <w:rFonts w:ascii="Calibri" w:hAnsi="Calibri" w:cs="AGaramond-Semibold"/>
          <w:sz w:val="25"/>
          <w:szCs w:val="25"/>
        </w:rPr>
        <w:t xml:space="preserve">Smitteperiode: </w:t>
      </w:r>
      <w:r w:rsidRPr="00013645">
        <w:rPr>
          <w:rFonts w:ascii="Calibri" w:hAnsi="Calibri" w:cs="AGaramond-Regular"/>
          <w:sz w:val="25"/>
          <w:szCs w:val="25"/>
        </w:rPr>
        <w:t>Smitter fra dannelse af blærer og til blærerne er tørret ind.</w:t>
      </w:r>
    </w:p>
    <w:p w:rsidR="00013645" w:rsidRPr="00013645" w:rsidRDefault="00013645" w:rsidP="00013645">
      <w:pPr>
        <w:autoSpaceDE w:val="0"/>
        <w:autoSpaceDN w:val="0"/>
        <w:adjustRightInd w:val="0"/>
        <w:rPr>
          <w:rFonts w:ascii="Calibri" w:hAnsi="Calibri" w:cs="Ding2"/>
          <w:sz w:val="28"/>
          <w:szCs w:val="28"/>
        </w:rPr>
      </w:pPr>
    </w:p>
    <w:p w:rsidR="00013645" w:rsidRPr="00013645" w:rsidRDefault="00013645" w:rsidP="00013645">
      <w:pPr>
        <w:autoSpaceDE w:val="0"/>
        <w:autoSpaceDN w:val="0"/>
        <w:adjustRightInd w:val="0"/>
        <w:rPr>
          <w:rFonts w:ascii="Calibri" w:hAnsi="Calibri" w:cs="Agenda-Medium"/>
          <w:sz w:val="28"/>
          <w:szCs w:val="28"/>
        </w:rPr>
      </w:pPr>
      <w:r w:rsidRPr="00013645">
        <w:rPr>
          <w:rFonts w:ascii="Calibri" w:hAnsi="Calibri" w:cs="Agenda-Medium"/>
          <w:sz w:val="28"/>
          <w:szCs w:val="28"/>
        </w:rPr>
        <w:t>Om forebyggelse</w:t>
      </w:r>
    </w:p>
    <w:p w:rsidR="00013645" w:rsidRPr="00013645" w:rsidRDefault="00013645" w:rsidP="00013645">
      <w:pPr>
        <w:autoSpaceDE w:val="0"/>
        <w:autoSpaceDN w:val="0"/>
        <w:adjustRightInd w:val="0"/>
        <w:rPr>
          <w:rFonts w:ascii="Calibri" w:hAnsi="Calibri" w:cs="AGaramond-Regular"/>
          <w:sz w:val="25"/>
          <w:szCs w:val="25"/>
        </w:rPr>
      </w:pPr>
      <w:r w:rsidRPr="00013645">
        <w:rPr>
          <w:rFonts w:ascii="Calibri" w:hAnsi="Calibri" w:cs="AGaramond-Regular"/>
          <w:sz w:val="25"/>
          <w:szCs w:val="25"/>
        </w:rPr>
        <w:t>Korrekt håndhygiejne og en god rengøringsstandard er vigtig for forebyggelsen af smittespredning.</w:t>
      </w:r>
    </w:p>
    <w:p w:rsidR="00013645" w:rsidRPr="00013645" w:rsidRDefault="00013645" w:rsidP="00013645">
      <w:pPr>
        <w:autoSpaceDE w:val="0"/>
        <w:autoSpaceDN w:val="0"/>
        <w:adjustRightInd w:val="0"/>
        <w:rPr>
          <w:rFonts w:ascii="Calibri" w:hAnsi="Calibri" w:cs="AGaramond-Regular"/>
          <w:sz w:val="25"/>
          <w:szCs w:val="25"/>
        </w:rPr>
      </w:pPr>
      <w:r w:rsidRPr="00013645">
        <w:rPr>
          <w:rFonts w:ascii="Calibri" w:hAnsi="Calibri" w:cs="AGaramond-Regular"/>
          <w:sz w:val="25"/>
          <w:szCs w:val="25"/>
        </w:rPr>
        <w:t>Renlighed og håndvask kan nedsætte smitteoverførsel, men denne kan dog ikke helt undgå hverken i eller uden for institution, da de fleste smittes af raske smittebærere.</w:t>
      </w:r>
    </w:p>
    <w:p w:rsidR="00013645" w:rsidRPr="00013645" w:rsidRDefault="00013645" w:rsidP="00013645">
      <w:pPr>
        <w:autoSpaceDE w:val="0"/>
        <w:autoSpaceDN w:val="0"/>
        <w:adjustRightInd w:val="0"/>
        <w:rPr>
          <w:rFonts w:ascii="Calibri" w:hAnsi="Calibri" w:cs="Ding2"/>
          <w:sz w:val="28"/>
          <w:szCs w:val="28"/>
        </w:rPr>
      </w:pPr>
    </w:p>
    <w:p w:rsidR="00013645" w:rsidRPr="00013645" w:rsidRDefault="00013645" w:rsidP="00013645">
      <w:pPr>
        <w:autoSpaceDE w:val="0"/>
        <w:autoSpaceDN w:val="0"/>
        <w:adjustRightInd w:val="0"/>
        <w:rPr>
          <w:rFonts w:ascii="Calibri" w:hAnsi="Calibri" w:cs="Agenda-Medium"/>
          <w:sz w:val="28"/>
          <w:szCs w:val="28"/>
        </w:rPr>
      </w:pPr>
      <w:r w:rsidRPr="00013645">
        <w:rPr>
          <w:rFonts w:ascii="Calibri" w:hAnsi="Calibri" w:cs="Agenda-Medium"/>
          <w:sz w:val="28"/>
          <w:szCs w:val="28"/>
        </w:rPr>
        <w:t>Symptomer</w:t>
      </w:r>
    </w:p>
    <w:p w:rsidR="00013645" w:rsidRPr="00013645" w:rsidRDefault="00013645" w:rsidP="00013645">
      <w:pPr>
        <w:autoSpaceDE w:val="0"/>
        <w:autoSpaceDN w:val="0"/>
        <w:adjustRightInd w:val="0"/>
        <w:rPr>
          <w:rFonts w:ascii="Calibri" w:hAnsi="Calibri" w:cs="AGaramond-Regular"/>
          <w:sz w:val="25"/>
          <w:szCs w:val="25"/>
        </w:rPr>
      </w:pPr>
      <w:r w:rsidRPr="00013645">
        <w:rPr>
          <w:rFonts w:ascii="Calibri" w:hAnsi="Calibri" w:cs="AGaramond-Semibold"/>
          <w:sz w:val="25"/>
          <w:szCs w:val="25"/>
        </w:rPr>
        <w:t xml:space="preserve">Inkubationstid: </w:t>
      </w:r>
      <w:r w:rsidRPr="00013645">
        <w:rPr>
          <w:rFonts w:ascii="Calibri" w:hAnsi="Calibri" w:cs="AGaramond-Regular"/>
          <w:sz w:val="25"/>
          <w:szCs w:val="25"/>
        </w:rPr>
        <w:t>2-12 dage.</w:t>
      </w:r>
    </w:p>
    <w:p w:rsidR="00013645" w:rsidRPr="00013645" w:rsidRDefault="00013645" w:rsidP="00013645">
      <w:pPr>
        <w:autoSpaceDE w:val="0"/>
        <w:autoSpaceDN w:val="0"/>
        <w:adjustRightInd w:val="0"/>
        <w:rPr>
          <w:rFonts w:ascii="Calibri" w:hAnsi="Calibri" w:cs="AGaramond-Regular"/>
          <w:sz w:val="25"/>
          <w:szCs w:val="25"/>
        </w:rPr>
      </w:pPr>
      <w:r w:rsidRPr="00013645">
        <w:rPr>
          <w:rFonts w:ascii="Calibri" w:hAnsi="Calibri" w:cs="AGaramond-Regular"/>
          <w:sz w:val="25"/>
          <w:szCs w:val="25"/>
        </w:rPr>
        <w:t>Oftest begynder sygdommen med rødme, prikken og kløe af huden på det sted, hvor blærerne senere kommer frem. Efter et par dage opstår 1-</w:t>
      </w:r>
      <w:smartTag w:uri="urn:schemas-microsoft-com:office:smarttags" w:element="metricconverter">
        <w:smartTagPr>
          <w:attr w:name="ProductID" w:val="2 mm"/>
        </w:smartTagPr>
        <w:r w:rsidRPr="00013645">
          <w:rPr>
            <w:rFonts w:ascii="Calibri" w:hAnsi="Calibri" w:cs="AGaramond-Regular"/>
            <w:sz w:val="25"/>
            <w:szCs w:val="25"/>
          </w:rPr>
          <w:t>2 mm</w:t>
        </w:r>
      </w:smartTag>
      <w:r w:rsidRPr="00013645">
        <w:rPr>
          <w:rFonts w:ascii="Calibri" w:hAnsi="Calibri" w:cs="AGaramond-Regular"/>
          <w:sz w:val="25"/>
          <w:szCs w:val="25"/>
        </w:rPr>
        <w:t xml:space="preserve"> store væskefyldte, tætsiddende blærer, hyppigt omkring munden. Blærerne brister hurtigt og bliver til sår. Efter 1 uges tid tørrer udbruddet ind.</w:t>
      </w:r>
    </w:p>
    <w:p w:rsidR="00013645" w:rsidRPr="00013645" w:rsidRDefault="00013645" w:rsidP="00013645">
      <w:pPr>
        <w:autoSpaceDE w:val="0"/>
        <w:autoSpaceDN w:val="0"/>
        <w:adjustRightInd w:val="0"/>
        <w:rPr>
          <w:rFonts w:ascii="Calibri" w:hAnsi="Calibri" w:cs="AGaramond-Regular"/>
          <w:sz w:val="25"/>
          <w:szCs w:val="25"/>
        </w:rPr>
      </w:pPr>
      <w:r w:rsidRPr="00013645">
        <w:rPr>
          <w:rFonts w:ascii="Calibri" w:hAnsi="Calibri" w:cs="AGaramond-Regular"/>
          <w:sz w:val="25"/>
          <w:szCs w:val="25"/>
        </w:rPr>
        <w:t>Ved det første udbrud kan der tillige være utilpashed, hævede lymfeknuder og undertiden</w:t>
      </w:r>
    </w:p>
    <w:p w:rsidR="00013645" w:rsidRPr="00013645" w:rsidRDefault="00013645" w:rsidP="00013645">
      <w:pPr>
        <w:autoSpaceDE w:val="0"/>
        <w:autoSpaceDN w:val="0"/>
        <w:adjustRightInd w:val="0"/>
        <w:rPr>
          <w:rFonts w:ascii="Calibri" w:hAnsi="Calibri" w:cs="AGaramond-Regular"/>
          <w:sz w:val="25"/>
          <w:szCs w:val="25"/>
        </w:rPr>
      </w:pPr>
      <w:r w:rsidRPr="00013645">
        <w:rPr>
          <w:rFonts w:ascii="Calibri" w:hAnsi="Calibri" w:cs="AGaramond-Regular"/>
          <w:sz w:val="25"/>
          <w:szCs w:val="25"/>
        </w:rPr>
        <w:t>temperaturforhøjelse. Mundslimhinden kan også være angrebet. Senere herpesudbrud angriber kun huden, oftest kun på et mindre område.</w:t>
      </w:r>
    </w:p>
    <w:p w:rsidR="00013645" w:rsidRPr="00013645" w:rsidRDefault="00013645" w:rsidP="00013645">
      <w:pPr>
        <w:autoSpaceDE w:val="0"/>
        <w:autoSpaceDN w:val="0"/>
        <w:adjustRightInd w:val="0"/>
        <w:rPr>
          <w:rFonts w:ascii="Calibri" w:hAnsi="Calibri" w:cs="AGaramond-Regular"/>
          <w:sz w:val="25"/>
          <w:szCs w:val="25"/>
        </w:rPr>
      </w:pPr>
      <w:r w:rsidRPr="00013645">
        <w:rPr>
          <w:rFonts w:ascii="Calibri" w:hAnsi="Calibri" w:cs="AGaramond-Regular"/>
          <w:sz w:val="25"/>
          <w:szCs w:val="25"/>
        </w:rPr>
        <w:t>Udbruddene kommer ofte igen samme sted i forbindelse med anden sygdom, og hos nogle kan solbadning og saltvand være årsag til fornyet udbrud.</w:t>
      </w:r>
    </w:p>
    <w:p w:rsidR="00013645" w:rsidRPr="00013645" w:rsidRDefault="00013645" w:rsidP="00013645">
      <w:pPr>
        <w:autoSpaceDE w:val="0"/>
        <w:autoSpaceDN w:val="0"/>
        <w:adjustRightInd w:val="0"/>
        <w:rPr>
          <w:rFonts w:ascii="Calibri" w:hAnsi="Calibri" w:cs="Ding2"/>
          <w:sz w:val="28"/>
          <w:szCs w:val="28"/>
        </w:rPr>
      </w:pPr>
    </w:p>
    <w:p w:rsidR="00013645" w:rsidRPr="00013645" w:rsidRDefault="00013645" w:rsidP="00013645">
      <w:pPr>
        <w:autoSpaceDE w:val="0"/>
        <w:autoSpaceDN w:val="0"/>
        <w:adjustRightInd w:val="0"/>
        <w:rPr>
          <w:rFonts w:ascii="Calibri" w:hAnsi="Calibri" w:cs="Agenda-Medium"/>
          <w:sz w:val="28"/>
          <w:szCs w:val="28"/>
        </w:rPr>
      </w:pPr>
      <w:r w:rsidRPr="00013645">
        <w:rPr>
          <w:rFonts w:ascii="Calibri" w:hAnsi="Calibri" w:cs="Agenda-Medium"/>
          <w:sz w:val="28"/>
          <w:szCs w:val="28"/>
        </w:rPr>
        <w:t>Behandling</w:t>
      </w:r>
    </w:p>
    <w:p w:rsidR="00013645" w:rsidRPr="00013645" w:rsidRDefault="00013645" w:rsidP="00013645">
      <w:pPr>
        <w:autoSpaceDE w:val="0"/>
        <w:autoSpaceDN w:val="0"/>
        <w:adjustRightInd w:val="0"/>
        <w:rPr>
          <w:rFonts w:ascii="Calibri" w:hAnsi="Calibri" w:cs="AGaramond-Regular"/>
          <w:sz w:val="25"/>
          <w:szCs w:val="25"/>
        </w:rPr>
      </w:pPr>
      <w:r w:rsidRPr="00013645">
        <w:rPr>
          <w:rFonts w:ascii="Calibri" w:hAnsi="Calibri" w:cs="AGaramond-Regular"/>
          <w:sz w:val="25"/>
          <w:szCs w:val="25"/>
        </w:rPr>
        <w:t>Forløbet kan afkortes med virusdræbende midler. Når der er dannet blærer, kan man bruge en udtørrende zinkpasta.</w:t>
      </w:r>
    </w:p>
    <w:p w:rsidR="00013645" w:rsidRPr="00013645" w:rsidRDefault="00013645" w:rsidP="00013645">
      <w:pPr>
        <w:autoSpaceDE w:val="0"/>
        <w:autoSpaceDN w:val="0"/>
        <w:adjustRightInd w:val="0"/>
        <w:rPr>
          <w:rFonts w:ascii="Calibri" w:hAnsi="Calibri" w:cs="Agenda-Light"/>
          <w:sz w:val="18"/>
          <w:szCs w:val="18"/>
        </w:rPr>
      </w:pPr>
    </w:p>
    <w:p w:rsidR="00013645" w:rsidRPr="00013645" w:rsidRDefault="00013645" w:rsidP="00013645">
      <w:pPr>
        <w:autoSpaceDE w:val="0"/>
        <w:autoSpaceDN w:val="0"/>
        <w:adjustRightInd w:val="0"/>
        <w:rPr>
          <w:rFonts w:ascii="Calibri" w:hAnsi="Calibri" w:cs="Agenda-Medium"/>
          <w:sz w:val="28"/>
          <w:szCs w:val="28"/>
        </w:rPr>
      </w:pPr>
      <w:r w:rsidRPr="00013645">
        <w:rPr>
          <w:rFonts w:ascii="Calibri" w:hAnsi="Calibri" w:cs="Agenda-Medium"/>
          <w:sz w:val="28"/>
          <w:szCs w:val="28"/>
        </w:rPr>
        <w:t>Komplikationer</w:t>
      </w:r>
    </w:p>
    <w:p w:rsidR="00013645" w:rsidRPr="00013645" w:rsidRDefault="00013645" w:rsidP="00013645">
      <w:pPr>
        <w:autoSpaceDE w:val="0"/>
        <w:autoSpaceDN w:val="0"/>
        <w:adjustRightInd w:val="0"/>
        <w:rPr>
          <w:rFonts w:ascii="Calibri" w:hAnsi="Calibri" w:cs="AGaramond-Regular"/>
          <w:sz w:val="25"/>
          <w:szCs w:val="25"/>
        </w:rPr>
      </w:pPr>
      <w:r w:rsidRPr="00013645">
        <w:rPr>
          <w:rFonts w:ascii="Calibri" w:hAnsi="Calibri" w:cs="AGaramond-Regular"/>
          <w:sz w:val="25"/>
          <w:szCs w:val="25"/>
        </w:rPr>
        <w:t>Forkølelsessår hos et barn kan undertiden forurenes med bakterier og give anledning til børnesår.</w:t>
      </w:r>
    </w:p>
    <w:p w:rsidR="00013645" w:rsidRPr="00013645" w:rsidRDefault="00013645" w:rsidP="00013645">
      <w:pPr>
        <w:autoSpaceDE w:val="0"/>
        <w:autoSpaceDN w:val="0"/>
        <w:adjustRightInd w:val="0"/>
        <w:rPr>
          <w:rFonts w:ascii="Calibri" w:hAnsi="Calibri" w:cs="Agenda-Medium"/>
          <w:sz w:val="28"/>
          <w:szCs w:val="28"/>
        </w:rPr>
      </w:pPr>
    </w:p>
    <w:p w:rsidR="00013645" w:rsidRPr="00013645" w:rsidRDefault="00013645" w:rsidP="00013645">
      <w:pPr>
        <w:autoSpaceDE w:val="0"/>
        <w:autoSpaceDN w:val="0"/>
        <w:adjustRightInd w:val="0"/>
        <w:rPr>
          <w:rFonts w:ascii="Calibri" w:hAnsi="Calibri" w:cs="Agenda-Medium"/>
          <w:sz w:val="28"/>
          <w:szCs w:val="28"/>
        </w:rPr>
      </w:pPr>
      <w:r w:rsidRPr="00013645">
        <w:rPr>
          <w:rFonts w:ascii="Calibri" w:hAnsi="Calibri" w:cs="Agenda-Medium"/>
          <w:sz w:val="28"/>
          <w:szCs w:val="28"/>
        </w:rPr>
        <w:t>Komme i institution</w:t>
      </w:r>
    </w:p>
    <w:p w:rsidR="00483638" w:rsidRPr="00013645" w:rsidRDefault="00013645" w:rsidP="00013645">
      <w:pPr>
        <w:autoSpaceDE w:val="0"/>
        <w:autoSpaceDN w:val="0"/>
        <w:adjustRightInd w:val="0"/>
        <w:rPr>
          <w:rFonts w:ascii="Calibri" w:hAnsi="Calibri" w:cs="AGaramond-Regular"/>
          <w:sz w:val="25"/>
          <w:szCs w:val="25"/>
        </w:rPr>
      </w:pPr>
      <w:r w:rsidRPr="00013645">
        <w:rPr>
          <w:rFonts w:ascii="Calibri" w:hAnsi="Calibri" w:cs="AGaramond-Regular"/>
          <w:sz w:val="25"/>
          <w:szCs w:val="25"/>
        </w:rPr>
        <w:t>Et barn med herpesudbrud må gerne komme i institution eller skole. En undtagelse er, hvis der er kommet infektion i forkølelsessåret.</w:t>
      </w:r>
    </w:p>
    <w:sectPr w:rsidR="00483638" w:rsidRPr="00013645" w:rsidSect="00013645">
      <w:headerReference w:type="default" r:id="rId7"/>
      <w:footerReference w:type="default" r:id="rId8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52F" w:rsidRDefault="0042552F" w:rsidP="004D5565">
      <w:r>
        <w:separator/>
      </w:r>
    </w:p>
  </w:endnote>
  <w:endnote w:type="continuationSeparator" w:id="0">
    <w:p w:rsidR="0042552F" w:rsidRDefault="0042552F" w:rsidP="004D5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genda-Medium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Garamond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ing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Garamond-Semi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genda-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7DC" w:rsidRDefault="000727D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52F" w:rsidRDefault="0042552F" w:rsidP="004D5565">
      <w:r>
        <w:separator/>
      </w:r>
    </w:p>
  </w:footnote>
  <w:footnote w:type="continuationSeparator" w:id="0">
    <w:p w:rsidR="0042552F" w:rsidRDefault="0042552F" w:rsidP="004D55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565" w:rsidRPr="004D5565" w:rsidRDefault="004D5565" w:rsidP="004D5565">
    <w:pPr>
      <w:tabs>
        <w:tab w:val="center" w:pos="4819"/>
        <w:tab w:val="right" w:pos="9638"/>
      </w:tabs>
      <w:rPr>
        <w:rFonts w:ascii="Calibri" w:hAnsi="Calibri"/>
        <w:sz w:val="28"/>
        <w:szCs w:val="28"/>
      </w:rPr>
    </w:pPr>
    <w:r w:rsidRPr="004D5565">
      <w:rPr>
        <w:rFonts w:ascii="Calibri" w:hAnsi="Calibri"/>
        <w:sz w:val="28"/>
        <w:szCs w:val="28"/>
      </w:rPr>
      <w:t>Landslægeembedet</w:t>
    </w:r>
  </w:p>
  <w:p w:rsidR="004D5565" w:rsidRDefault="004D5565">
    <w:pPr>
      <w:pStyle w:val="Sidehove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AA5"/>
    <w:rsid w:val="00013645"/>
    <w:rsid w:val="000727DC"/>
    <w:rsid w:val="003A0AA5"/>
    <w:rsid w:val="0042552F"/>
    <w:rsid w:val="00483638"/>
    <w:rsid w:val="00492B06"/>
    <w:rsid w:val="004C1F9C"/>
    <w:rsid w:val="004D5565"/>
    <w:rsid w:val="00810BF3"/>
    <w:rsid w:val="0099645B"/>
    <w:rsid w:val="00AE365F"/>
    <w:rsid w:val="00C92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A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4D5565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4D5565"/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Sidefod">
    <w:name w:val="footer"/>
    <w:basedOn w:val="Normal"/>
    <w:link w:val="SidefodTegn"/>
    <w:uiPriority w:val="99"/>
    <w:unhideWhenUsed/>
    <w:rsid w:val="004D5565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4D5565"/>
    <w:rPr>
      <w:rFonts w:ascii="Times New Roman" w:eastAsia="Times New Roman" w:hAnsi="Times New Roman" w:cs="Times New Roman"/>
      <w:sz w:val="24"/>
      <w:szCs w:val="24"/>
      <w:lang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A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4D5565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4D5565"/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Sidefod">
    <w:name w:val="footer"/>
    <w:basedOn w:val="Normal"/>
    <w:link w:val="SidefodTegn"/>
    <w:uiPriority w:val="99"/>
    <w:unhideWhenUsed/>
    <w:rsid w:val="004D5565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4D5565"/>
    <w:rPr>
      <w:rFonts w:ascii="Times New Roman" w:eastAsia="Times New Roman" w:hAnsi="Times New Roman" w:cs="Times New Roman"/>
      <w:sz w:val="24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1698</Characters>
  <Application>Microsoft Office Word</Application>
  <DocSecurity>0</DocSecurity>
  <Lines>14</Lines>
  <Paragraphs>3</Paragraphs>
  <ScaleCrop>false</ScaleCrop>
  <Company>Kalaallit Nunaanni Namminersorlutik Oqartussat</Company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Turid B. Skifte</dc:creator>
  <cp:lastModifiedBy>Janne Stenstrop</cp:lastModifiedBy>
  <cp:revision>2</cp:revision>
  <dcterms:created xsi:type="dcterms:W3CDTF">2013-05-13T16:39:00Z</dcterms:created>
  <dcterms:modified xsi:type="dcterms:W3CDTF">2013-05-13T16:39:00Z</dcterms:modified>
</cp:coreProperties>
</file>